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27" w:rsidRDefault="00E16127" w:rsidP="00DF532D">
      <w:bookmarkStart w:id="0" w:name="_GoBack"/>
      <w:bookmarkEnd w:id="0"/>
    </w:p>
    <w:p w:rsidR="00D17405" w:rsidRPr="00D17405" w:rsidRDefault="00D17405" w:rsidP="00DF532D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17405">
        <w:rPr>
          <w:rFonts w:ascii="Arial" w:hAnsi="Arial" w:cs="Arial"/>
          <w:sz w:val="22"/>
          <w:szCs w:val="22"/>
        </w:rPr>
        <w:t>One of the Government’s Towards Q2 commitments is to support safe and caring communities.  In line with this commitment, the Government announced significant gambling reforms during 2008</w:t>
      </w:r>
      <w:r w:rsidR="009014A7">
        <w:rPr>
          <w:rFonts w:ascii="Arial" w:hAnsi="Arial" w:cs="Arial"/>
          <w:sz w:val="22"/>
          <w:szCs w:val="22"/>
        </w:rPr>
        <w:t xml:space="preserve"> to reduce the potential harm of gambling in the community</w:t>
      </w:r>
      <w:r w:rsidRPr="00D17405">
        <w:rPr>
          <w:rFonts w:ascii="Arial" w:hAnsi="Arial" w:cs="Arial"/>
          <w:sz w:val="22"/>
          <w:szCs w:val="22"/>
        </w:rPr>
        <w:t>.</w:t>
      </w:r>
      <w:r w:rsidRPr="0096267E">
        <w:t xml:space="preserve">  </w:t>
      </w:r>
    </w:p>
    <w:p w:rsidR="00DF532D" w:rsidRDefault="00DF532D" w:rsidP="00DF532D">
      <w:pPr>
        <w:jc w:val="both"/>
        <w:rPr>
          <w:rFonts w:ascii="Arial" w:hAnsi="Arial" w:cs="Arial"/>
          <w:sz w:val="22"/>
          <w:szCs w:val="22"/>
        </w:rPr>
      </w:pPr>
    </w:p>
    <w:p w:rsidR="00D17405" w:rsidRDefault="00D17405" w:rsidP="00DF532D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D17405">
        <w:rPr>
          <w:rFonts w:ascii="Arial" w:hAnsi="Arial" w:cs="Arial"/>
          <w:sz w:val="22"/>
          <w:szCs w:val="22"/>
        </w:rPr>
        <w:t xml:space="preserve">hese reforms </w:t>
      </w:r>
      <w:r>
        <w:rPr>
          <w:rFonts w:ascii="Arial" w:hAnsi="Arial" w:cs="Arial"/>
          <w:sz w:val="22"/>
          <w:szCs w:val="22"/>
        </w:rPr>
        <w:t>included</w:t>
      </w:r>
      <w:r w:rsidRPr="00D17405">
        <w:rPr>
          <w:rFonts w:ascii="Arial" w:hAnsi="Arial" w:cs="Arial"/>
          <w:sz w:val="22"/>
          <w:szCs w:val="22"/>
        </w:rPr>
        <w:t xml:space="preserve"> a cap on club gaming machines</w:t>
      </w:r>
      <w:r w:rsidR="0085270B">
        <w:rPr>
          <w:rFonts w:ascii="Arial" w:hAnsi="Arial" w:cs="Arial"/>
          <w:sz w:val="22"/>
          <w:szCs w:val="22"/>
        </w:rPr>
        <w:t xml:space="preserve"> to limit the proliferation of gaming machines in the state</w:t>
      </w:r>
      <w:r w:rsidRPr="00D17405">
        <w:rPr>
          <w:rFonts w:ascii="Arial" w:hAnsi="Arial" w:cs="Arial"/>
          <w:sz w:val="22"/>
          <w:szCs w:val="22"/>
        </w:rPr>
        <w:t>,</w:t>
      </w:r>
      <w:r w:rsidR="0085270B">
        <w:rPr>
          <w:rFonts w:ascii="Arial" w:hAnsi="Arial" w:cs="Arial"/>
          <w:sz w:val="22"/>
          <w:szCs w:val="22"/>
        </w:rPr>
        <w:t xml:space="preserve"> a</w:t>
      </w:r>
      <w:r w:rsidRPr="00D17405">
        <w:rPr>
          <w:rFonts w:ascii="Arial" w:hAnsi="Arial" w:cs="Arial"/>
          <w:sz w:val="22"/>
          <w:szCs w:val="22"/>
        </w:rPr>
        <w:t xml:space="preserve"> reallocation scheme </w:t>
      </w:r>
      <w:r w:rsidR="0085270B">
        <w:rPr>
          <w:rFonts w:ascii="Arial" w:hAnsi="Arial" w:cs="Arial"/>
          <w:sz w:val="22"/>
          <w:szCs w:val="22"/>
        </w:rPr>
        <w:t xml:space="preserve">for gaming machines under the cap </w:t>
      </w:r>
      <w:r w:rsidRPr="00D17405">
        <w:rPr>
          <w:rFonts w:ascii="Arial" w:hAnsi="Arial" w:cs="Arial"/>
          <w:sz w:val="22"/>
          <w:szCs w:val="22"/>
        </w:rPr>
        <w:t>and mandatory responsible service of gambling training</w:t>
      </w:r>
      <w:r w:rsidR="0085270B">
        <w:rPr>
          <w:rFonts w:ascii="Arial" w:hAnsi="Arial" w:cs="Arial"/>
          <w:sz w:val="22"/>
          <w:szCs w:val="22"/>
        </w:rPr>
        <w:t xml:space="preserve"> for staff that perform gambling related roles in hotels and clubs</w:t>
      </w:r>
      <w:r w:rsidRPr="00D17405">
        <w:rPr>
          <w:rFonts w:ascii="Arial" w:hAnsi="Arial" w:cs="Arial"/>
          <w:sz w:val="22"/>
          <w:szCs w:val="22"/>
        </w:rPr>
        <w:t>.</w:t>
      </w:r>
    </w:p>
    <w:p w:rsidR="00DF532D" w:rsidRDefault="00DF532D" w:rsidP="00DF532D">
      <w:pPr>
        <w:jc w:val="both"/>
        <w:rPr>
          <w:rFonts w:ascii="Arial" w:hAnsi="Arial" w:cs="Arial"/>
          <w:sz w:val="22"/>
          <w:szCs w:val="22"/>
        </w:rPr>
      </w:pPr>
    </w:p>
    <w:p w:rsidR="001554FE" w:rsidRDefault="00D17405" w:rsidP="00DF532D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Bill provides for the implementation of these reforms and </w:t>
      </w:r>
      <w:r w:rsidR="0085270B">
        <w:rPr>
          <w:rFonts w:ascii="Arial" w:hAnsi="Arial" w:cs="Arial"/>
          <w:sz w:val="22"/>
          <w:szCs w:val="22"/>
        </w:rPr>
        <w:t xml:space="preserve">further </w:t>
      </w:r>
      <w:r>
        <w:rPr>
          <w:rFonts w:ascii="Arial" w:hAnsi="Arial" w:cs="Arial"/>
          <w:sz w:val="22"/>
          <w:szCs w:val="22"/>
        </w:rPr>
        <w:t>p</w:t>
      </w:r>
      <w:r w:rsidR="0085270B">
        <w:rPr>
          <w:rFonts w:ascii="Arial" w:hAnsi="Arial" w:cs="Arial"/>
          <w:sz w:val="22"/>
          <w:szCs w:val="22"/>
        </w:rPr>
        <w:t>rovides for greater prote</w:t>
      </w:r>
      <w:r w:rsidR="00A04255">
        <w:rPr>
          <w:rFonts w:ascii="Arial" w:hAnsi="Arial" w:cs="Arial"/>
          <w:sz w:val="22"/>
          <w:szCs w:val="22"/>
        </w:rPr>
        <w:t>ction from the potential harm from</w:t>
      </w:r>
      <w:r w:rsidR="0085270B">
        <w:rPr>
          <w:rFonts w:ascii="Arial" w:hAnsi="Arial" w:cs="Arial"/>
          <w:sz w:val="22"/>
          <w:szCs w:val="22"/>
        </w:rPr>
        <w:t xml:space="preserve"> gambling for vulnerable persons such as minors and problems gamblers</w:t>
      </w:r>
      <w:r w:rsidR="001554FE">
        <w:rPr>
          <w:rFonts w:ascii="Arial" w:hAnsi="Arial" w:cs="Arial"/>
          <w:sz w:val="22"/>
          <w:szCs w:val="22"/>
        </w:rPr>
        <w:t>.</w:t>
      </w:r>
    </w:p>
    <w:p w:rsidR="00DF532D" w:rsidRDefault="00DF532D" w:rsidP="00DF532D">
      <w:pPr>
        <w:jc w:val="both"/>
        <w:rPr>
          <w:rFonts w:ascii="Arial" w:hAnsi="Arial" w:cs="Arial"/>
          <w:sz w:val="22"/>
          <w:szCs w:val="22"/>
        </w:rPr>
      </w:pPr>
    </w:p>
    <w:p w:rsidR="001554FE" w:rsidRDefault="001554FE" w:rsidP="00DF532D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Government is committed to ensuring the integrity of the raci</w:t>
      </w:r>
      <w:r w:rsidR="00756030">
        <w:rPr>
          <w:rFonts w:ascii="Arial" w:hAnsi="Arial" w:cs="Arial"/>
          <w:sz w:val="22"/>
          <w:szCs w:val="22"/>
        </w:rPr>
        <w:t>ng and gambling industries</w:t>
      </w:r>
      <w:r>
        <w:rPr>
          <w:rFonts w:ascii="Arial" w:hAnsi="Arial" w:cs="Arial"/>
          <w:sz w:val="22"/>
          <w:szCs w:val="22"/>
        </w:rPr>
        <w:t>.  The Bill provides for more effective regulatory processes to</w:t>
      </w:r>
      <w:r w:rsidR="00756030">
        <w:rPr>
          <w:rFonts w:ascii="Arial" w:hAnsi="Arial" w:cs="Arial"/>
          <w:sz w:val="22"/>
          <w:szCs w:val="22"/>
        </w:rPr>
        <w:t xml:space="preserve"> maintain the integrity</w:t>
      </w:r>
      <w:r>
        <w:rPr>
          <w:rFonts w:ascii="Arial" w:hAnsi="Arial" w:cs="Arial"/>
          <w:sz w:val="22"/>
          <w:szCs w:val="22"/>
        </w:rPr>
        <w:t xml:space="preserve"> </w:t>
      </w:r>
      <w:r w:rsidR="00756030">
        <w:rPr>
          <w:rFonts w:ascii="Arial" w:hAnsi="Arial" w:cs="Arial"/>
          <w:sz w:val="22"/>
          <w:szCs w:val="22"/>
        </w:rPr>
        <w:t xml:space="preserve">of racing and gambling in </w:t>
      </w:r>
      <w:smartTag w:uri="urn:schemas-microsoft-com:office:smarttags" w:element="place">
        <w:smartTag w:uri="urn:schemas-microsoft-com:office:smarttags" w:element="State">
          <w:r w:rsidR="00756030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="00756030">
        <w:rPr>
          <w:rFonts w:ascii="Arial" w:hAnsi="Arial" w:cs="Arial"/>
          <w:sz w:val="22"/>
          <w:szCs w:val="22"/>
        </w:rPr>
        <w:t>.</w:t>
      </w:r>
    </w:p>
    <w:p w:rsidR="00DF532D" w:rsidRDefault="00DF532D" w:rsidP="00DF532D">
      <w:pPr>
        <w:jc w:val="both"/>
        <w:rPr>
          <w:rFonts w:ascii="Arial" w:hAnsi="Arial" w:cs="Arial"/>
          <w:sz w:val="22"/>
          <w:szCs w:val="22"/>
        </w:rPr>
      </w:pPr>
    </w:p>
    <w:p w:rsidR="00CF12F1" w:rsidRDefault="00CF12F1" w:rsidP="00DF532D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Given the current economic climate, the Government is also committed to reducing unnecessary regulatory burden on industry and ensuring</w:t>
      </w:r>
      <w:r w:rsidRPr="00D17405">
        <w:rPr>
          <w:rFonts w:ascii="Arial" w:hAnsi="Arial" w:cs="Arial"/>
          <w:sz w:val="22"/>
          <w:szCs w:val="22"/>
        </w:rPr>
        <w:t xml:space="preserve"> the efficiency and effectiveness of gambling regulation in </w:t>
      </w:r>
      <w:smartTag w:uri="urn:schemas-microsoft-com:office:smarttags" w:element="State">
        <w:smartTag w:uri="urn:schemas-microsoft-com:office:smarttags" w:element="place">
          <w:r w:rsidRPr="00D17405">
            <w:rPr>
              <w:rFonts w:ascii="Arial" w:hAnsi="Arial" w:cs="Arial"/>
              <w:sz w:val="22"/>
              <w:szCs w:val="22"/>
            </w:rPr>
            <w:t>Queens</w:t>
          </w:r>
          <w:r>
            <w:rPr>
              <w:rFonts w:ascii="Arial" w:hAnsi="Arial" w:cs="Arial"/>
              <w:sz w:val="22"/>
              <w:szCs w:val="22"/>
            </w:rPr>
            <w:t>land</w:t>
          </w:r>
        </w:smartTag>
      </w:smartTag>
      <w:r>
        <w:rPr>
          <w:rFonts w:ascii="Arial" w:hAnsi="Arial" w:cs="Arial"/>
          <w:sz w:val="22"/>
          <w:szCs w:val="22"/>
        </w:rPr>
        <w:t>.</w:t>
      </w:r>
    </w:p>
    <w:p w:rsidR="00DF532D" w:rsidRDefault="00DF532D" w:rsidP="00DF532D">
      <w:pPr>
        <w:jc w:val="both"/>
        <w:rPr>
          <w:rFonts w:ascii="Arial" w:hAnsi="Arial" w:cs="Arial"/>
          <w:sz w:val="22"/>
          <w:szCs w:val="22"/>
        </w:rPr>
      </w:pPr>
    </w:p>
    <w:p w:rsidR="00CF12F1" w:rsidRPr="00957011" w:rsidRDefault="00CF12F1" w:rsidP="00DF532D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57011">
        <w:rPr>
          <w:rFonts w:ascii="Arial" w:hAnsi="Arial" w:cs="Arial"/>
          <w:sz w:val="22"/>
          <w:szCs w:val="22"/>
        </w:rPr>
        <w:t>The Bill</w:t>
      </w:r>
      <w:r>
        <w:rPr>
          <w:rFonts w:ascii="Arial" w:hAnsi="Arial" w:cs="Arial"/>
          <w:sz w:val="22"/>
          <w:szCs w:val="22"/>
        </w:rPr>
        <w:t xml:space="preserve"> facilitates </w:t>
      </w:r>
      <w:r w:rsidR="00A04255">
        <w:rPr>
          <w:rFonts w:ascii="Arial" w:hAnsi="Arial" w:cs="Arial"/>
          <w:sz w:val="22"/>
          <w:szCs w:val="22"/>
        </w:rPr>
        <w:t>reductions in</w:t>
      </w:r>
      <w:r>
        <w:rPr>
          <w:rFonts w:ascii="Arial" w:hAnsi="Arial" w:cs="Arial"/>
          <w:sz w:val="22"/>
          <w:szCs w:val="22"/>
        </w:rPr>
        <w:t xml:space="preserve"> regulatory burden by removing Rules for </w:t>
      </w:r>
      <w:r w:rsidR="00A0425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conduct of gaming from subordinate legislation and by improving the clarity and consistency of gambling legislation. </w:t>
      </w:r>
    </w:p>
    <w:p w:rsidR="00DF532D" w:rsidRDefault="00DF532D" w:rsidP="00DF532D">
      <w:pPr>
        <w:jc w:val="both"/>
        <w:rPr>
          <w:rFonts w:ascii="Arial" w:hAnsi="Arial" w:cs="Arial"/>
          <w:sz w:val="22"/>
          <w:szCs w:val="22"/>
        </w:rPr>
      </w:pPr>
    </w:p>
    <w:p w:rsidR="00CF12F1" w:rsidRPr="00CF12F1" w:rsidRDefault="00CF12F1" w:rsidP="00DF532D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F12F1">
        <w:rPr>
          <w:rFonts w:ascii="Arial" w:hAnsi="Arial" w:cs="Arial"/>
          <w:sz w:val="22"/>
          <w:szCs w:val="22"/>
        </w:rPr>
        <w:t xml:space="preserve">Significant liquor reforms were also undertaken in 2008.  These reforms enhanced the role of harm minimisation in the regulation of the liquor industry and increased administrative efficiencies.  </w:t>
      </w:r>
    </w:p>
    <w:p w:rsidR="00DF532D" w:rsidRDefault="00DF532D" w:rsidP="00DF532D">
      <w:pPr>
        <w:jc w:val="both"/>
        <w:rPr>
          <w:rFonts w:ascii="Arial" w:hAnsi="Arial" w:cs="Arial"/>
          <w:sz w:val="22"/>
          <w:szCs w:val="22"/>
        </w:rPr>
      </w:pPr>
    </w:p>
    <w:p w:rsidR="00CF12F1" w:rsidRDefault="00CF12F1" w:rsidP="00DF532D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CF12F1">
        <w:rPr>
          <w:rFonts w:ascii="Arial" w:hAnsi="Arial" w:cs="Arial"/>
          <w:sz w:val="22"/>
          <w:szCs w:val="22"/>
        </w:rPr>
        <w:t xml:space="preserve">The Bill continues these reforms by facilitating further </w:t>
      </w:r>
      <w:r w:rsidR="00A04255">
        <w:rPr>
          <w:rFonts w:ascii="Arial" w:hAnsi="Arial" w:cs="Arial"/>
          <w:sz w:val="22"/>
          <w:szCs w:val="22"/>
        </w:rPr>
        <w:t>minor ha</w:t>
      </w:r>
      <w:r w:rsidRPr="00CF12F1">
        <w:rPr>
          <w:rFonts w:ascii="Arial" w:hAnsi="Arial" w:cs="Arial"/>
          <w:sz w:val="22"/>
          <w:szCs w:val="22"/>
        </w:rPr>
        <w:t xml:space="preserve">rm minimisation initiatives, </w:t>
      </w:r>
      <w:r w:rsidR="00A04255">
        <w:rPr>
          <w:rFonts w:ascii="Arial" w:hAnsi="Arial" w:cs="Arial"/>
          <w:sz w:val="22"/>
          <w:szCs w:val="22"/>
        </w:rPr>
        <w:t>reducing unnecessary</w:t>
      </w:r>
      <w:r w:rsidRPr="00CF12F1">
        <w:rPr>
          <w:rFonts w:ascii="Arial" w:hAnsi="Arial" w:cs="Arial"/>
          <w:sz w:val="22"/>
          <w:szCs w:val="22"/>
        </w:rPr>
        <w:t xml:space="preserve"> regu</w:t>
      </w:r>
      <w:r w:rsidR="00A04255">
        <w:rPr>
          <w:rFonts w:ascii="Arial" w:hAnsi="Arial" w:cs="Arial"/>
          <w:sz w:val="22"/>
          <w:szCs w:val="22"/>
        </w:rPr>
        <w:t>latory burden on industry and improving</w:t>
      </w:r>
      <w:r w:rsidRPr="00CF12F1">
        <w:rPr>
          <w:rFonts w:ascii="Arial" w:hAnsi="Arial" w:cs="Arial"/>
          <w:sz w:val="22"/>
          <w:szCs w:val="22"/>
        </w:rPr>
        <w:t xml:space="preserve"> the clarity and consistency of the Liquor Act.</w:t>
      </w:r>
    </w:p>
    <w:p w:rsidR="00DF532D" w:rsidRDefault="00DF532D" w:rsidP="00DF532D">
      <w:pPr>
        <w:jc w:val="both"/>
        <w:rPr>
          <w:rFonts w:ascii="Arial" w:hAnsi="Arial" w:cs="Arial"/>
          <w:sz w:val="22"/>
          <w:szCs w:val="22"/>
        </w:rPr>
      </w:pPr>
    </w:p>
    <w:p w:rsidR="006B57F8" w:rsidRPr="00CF12F1" w:rsidRDefault="006B57F8" w:rsidP="00DF532D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6B57F8">
        <w:rPr>
          <w:rFonts w:ascii="Arial" w:hAnsi="Arial" w:cs="Arial"/>
          <w:sz w:val="22"/>
          <w:szCs w:val="22"/>
        </w:rPr>
        <w:t xml:space="preserve">The Bill </w:t>
      </w:r>
      <w:r>
        <w:rPr>
          <w:rFonts w:ascii="Arial" w:hAnsi="Arial" w:cs="Arial"/>
          <w:sz w:val="22"/>
          <w:szCs w:val="22"/>
        </w:rPr>
        <w:t xml:space="preserve">also </w:t>
      </w:r>
      <w:r w:rsidRPr="006B57F8">
        <w:rPr>
          <w:rFonts w:ascii="Arial" w:hAnsi="Arial" w:cs="Arial"/>
          <w:sz w:val="22"/>
          <w:szCs w:val="22"/>
        </w:rPr>
        <w:t xml:space="preserve">provides clarity to the </w:t>
      </w:r>
      <w:r w:rsidRPr="006B57F8">
        <w:rPr>
          <w:rFonts w:ascii="Arial" w:hAnsi="Arial" w:cs="Arial"/>
          <w:i/>
          <w:sz w:val="22"/>
          <w:szCs w:val="22"/>
        </w:rPr>
        <w:t>Residential Services (Accreditation) Act 2002</w:t>
      </w:r>
      <w:r w:rsidRPr="006B57F8">
        <w:rPr>
          <w:rFonts w:ascii="Arial" w:hAnsi="Arial" w:cs="Arial"/>
          <w:sz w:val="22"/>
          <w:szCs w:val="22"/>
        </w:rPr>
        <w:t xml:space="preserve"> to ensure certainty for the registration of aged rental schemes.  </w:t>
      </w:r>
    </w:p>
    <w:p w:rsidR="00DF532D" w:rsidRPr="00DF532D" w:rsidRDefault="00DF532D" w:rsidP="00DF532D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</w:p>
    <w:p w:rsidR="00CF12F1" w:rsidRPr="00071EA5" w:rsidRDefault="00CF12F1" w:rsidP="00DF532D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F12F1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preparation of the </w:t>
      </w:r>
      <w:r w:rsidRPr="00071EA5">
        <w:rPr>
          <w:rFonts w:ascii="Arial" w:hAnsi="Arial" w:cs="Arial"/>
          <w:bCs/>
          <w:spacing w:val="-3"/>
          <w:sz w:val="22"/>
          <w:szCs w:val="22"/>
        </w:rPr>
        <w:t xml:space="preserve">Gambling and Other Legislation Amendment </w:t>
      </w:r>
      <w:r w:rsidR="00071EA5" w:rsidRPr="00071EA5">
        <w:rPr>
          <w:rFonts w:ascii="Arial" w:hAnsi="Arial" w:cs="Arial"/>
          <w:bCs/>
          <w:spacing w:val="-3"/>
          <w:sz w:val="22"/>
          <w:szCs w:val="22"/>
        </w:rPr>
        <w:t>Bill</w:t>
      </w:r>
      <w:r w:rsidRPr="00071EA5">
        <w:rPr>
          <w:rFonts w:ascii="Arial" w:hAnsi="Arial" w:cs="Arial"/>
          <w:bCs/>
          <w:spacing w:val="-3"/>
          <w:sz w:val="22"/>
          <w:szCs w:val="22"/>
        </w:rPr>
        <w:t xml:space="preserve"> 2009.</w:t>
      </w:r>
    </w:p>
    <w:p w:rsidR="00DF532D" w:rsidRPr="00DF532D" w:rsidRDefault="00DF532D" w:rsidP="00DF532D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D17405" w:rsidRPr="00C54460" w:rsidRDefault="00D17405" w:rsidP="00071EA5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introduction of the Bill into the Legislative Assembly.</w:t>
      </w:r>
    </w:p>
    <w:p w:rsidR="00D17405" w:rsidRPr="00C07656" w:rsidRDefault="00D17405" w:rsidP="00DF532D">
      <w:pPr>
        <w:jc w:val="both"/>
        <w:rPr>
          <w:rFonts w:ascii="Arial" w:hAnsi="Arial" w:cs="Arial"/>
          <w:sz w:val="22"/>
          <w:szCs w:val="22"/>
        </w:rPr>
      </w:pPr>
    </w:p>
    <w:p w:rsidR="00D17405" w:rsidRPr="00C07656" w:rsidRDefault="00D17405" w:rsidP="00071EA5">
      <w:pPr>
        <w:numPr>
          <w:ilvl w:val="0"/>
          <w:numId w:val="1"/>
        </w:numPr>
        <w:tabs>
          <w:tab w:val="clear" w:pos="720"/>
          <w:tab w:val="left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17405" w:rsidRPr="00AC1C70" w:rsidRDefault="00AC1C70" w:rsidP="00071EA5">
      <w:pPr>
        <w:numPr>
          <w:ilvl w:val="0"/>
          <w:numId w:val="2"/>
        </w:numPr>
        <w:tabs>
          <w:tab w:val="clear" w:pos="814"/>
          <w:tab w:val="left" w:pos="1134"/>
        </w:tabs>
        <w:spacing w:before="120"/>
        <w:ind w:left="1134" w:hanging="567"/>
        <w:jc w:val="both"/>
        <w:rPr>
          <w:rStyle w:val="Hyperlink"/>
          <w:rFonts w:ascii="Arial" w:hAnsi="Arial" w:cs="Arial"/>
          <w:sz w:val="22"/>
          <w:szCs w:val="22"/>
        </w:rPr>
      </w:pPr>
      <w:r w:rsidRPr="00071EA5">
        <w:rPr>
          <w:rFonts w:ascii="Arial" w:hAnsi="Arial" w:cs="Arial"/>
          <w:sz w:val="22"/>
          <w:szCs w:val="22"/>
        </w:rPr>
        <w:fldChar w:fldCharType="begin"/>
      </w:r>
      <w:r w:rsidR="00576504">
        <w:rPr>
          <w:rFonts w:ascii="Arial" w:hAnsi="Arial" w:cs="Arial"/>
          <w:sz w:val="22"/>
          <w:szCs w:val="22"/>
        </w:rPr>
        <w:instrText>HYPERLINK "Attachments/GambOLAB09.pdf"</w:instrText>
      </w:r>
      <w:r w:rsidRPr="00071EA5">
        <w:rPr>
          <w:rFonts w:ascii="Arial" w:hAnsi="Arial" w:cs="Arial"/>
          <w:sz w:val="22"/>
          <w:szCs w:val="22"/>
        </w:rPr>
        <w:fldChar w:fldCharType="separate"/>
      </w:r>
      <w:r w:rsidR="00756030" w:rsidRPr="00AC1C70">
        <w:rPr>
          <w:rStyle w:val="Hyperlink"/>
          <w:rFonts w:ascii="Arial" w:hAnsi="Arial" w:cs="Arial"/>
          <w:sz w:val="22"/>
          <w:szCs w:val="22"/>
        </w:rPr>
        <w:t>Gambling and Other Legislation Amendment Bill 2009</w:t>
      </w:r>
    </w:p>
    <w:p w:rsidR="00D17405" w:rsidRDefault="00AC1C70" w:rsidP="00071EA5">
      <w:pPr>
        <w:numPr>
          <w:ilvl w:val="0"/>
          <w:numId w:val="2"/>
        </w:numPr>
        <w:tabs>
          <w:tab w:val="clear" w:pos="814"/>
          <w:tab w:val="left" w:pos="1134"/>
        </w:tabs>
        <w:spacing w:before="120"/>
        <w:ind w:left="1134" w:hanging="567"/>
        <w:jc w:val="both"/>
      </w:pPr>
      <w:r w:rsidRPr="00071EA5">
        <w:rPr>
          <w:rFonts w:ascii="Arial" w:hAnsi="Arial" w:cs="Arial"/>
          <w:sz w:val="22"/>
          <w:szCs w:val="22"/>
        </w:rPr>
        <w:fldChar w:fldCharType="end"/>
      </w:r>
      <w:hyperlink r:id="rId7" w:history="1">
        <w:r w:rsidR="00D17405" w:rsidRPr="00071EA5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D17405" w:rsidSect="005572E7">
      <w:headerReference w:type="default" r:id="rId8"/>
      <w:pgSz w:w="11906" w:h="16838" w:code="9"/>
      <w:pgMar w:top="1418" w:right="851" w:bottom="1418" w:left="1985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4F7" w:rsidRDefault="007714F7">
      <w:r>
        <w:separator/>
      </w:r>
    </w:p>
  </w:endnote>
  <w:endnote w:type="continuationSeparator" w:id="0">
    <w:p w:rsidR="007714F7" w:rsidRDefault="0077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4F7" w:rsidRDefault="007714F7">
      <w:r>
        <w:separator/>
      </w:r>
    </w:p>
  </w:footnote>
  <w:footnote w:type="continuationSeparator" w:id="0">
    <w:p w:rsidR="007714F7" w:rsidRDefault="00771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512" w:rsidRPr="00862BA5" w:rsidRDefault="00105506" w:rsidP="00862BA5">
    <w:pPr>
      <w:pStyle w:val="Header"/>
      <w:ind w:firstLine="2880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512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DC5512">
      <w:rPr>
        <w:rFonts w:ascii="Arial" w:hAnsi="Arial" w:cs="Arial"/>
        <w:b/>
        <w:sz w:val="22"/>
        <w:szCs w:val="22"/>
        <w:u w:val="single"/>
      </w:rPr>
      <w:t>August</w:t>
    </w:r>
    <w:r w:rsidR="00DC5512" w:rsidRPr="000F03C7">
      <w:rPr>
        <w:rFonts w:ascii="Arial" w:hAnsi="Arial" w:cs="Arial"/>
        <w:b/>
        <w:sz w:val="22"/>
        <w:szCs w:val="22"/>
        <w:u w:val="single"/>
      </w:rPr>
      <w:t xml:space="preserve"> 2009</w:t>
    </w:r>
    <w:r w:rsidR="00DC5512">
      <w:rPr>
        <w:rFonts w:ascii="Arial" w:hAnsi="Arial" w:cs="Arial"/>
        <w:b/>
        <w:sz w:val="22"/>
        <w:szCs w:val="22"/>
      </w:rPr>
      <w:t xml:space="preserve"> </w:t>
    </w:r>
  </w:p>
  <w:p w:rsidR="00DC5512" w:rsidRPr="000F03C7" w:rsidRDefault="00DC5512" w:rsidP="00071EA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Gambling and Other Legislation Amendment</w:t>
    </w:r>
    <w:r w:rsidRPr="000F03C7">
      <w:rPr>
        <w:rFonts w:ascii="Arial" w:hAnsi="Arial" w:cs="Arial"/>
        <w:b/>
        <w:sz w:val="22"/>
        <w:szCs w:val="22"/>
        <w:u w:val="single"/>
      </w:rPr>
      <w:t xml:space="preserve"> Bill 2009</w:t>
    </w:r>
  </w:p>
  <w:p w:rsidR="00DC5512" w:rsidRPr="000F03C7" w:rsidRDefault="00DC5512" w:rsidP="00071EA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F03C7">
      <w:rPr>
        <w:rFonts w:ascii="Arial" w:hAnsi="Arial" w:cs="Arial"/>
        <w:b/>
        <w:sz w:val="22"/>
        <w:szCs w:val="22"/>
        <w:u w:val="single"/>
      </w:rPr>
      <w:t xml:space="preserve">Minister for </w:t>
    </w:r>
    <w:r>
      <w:rPr>
        <w:rFonts w:ascii="Arial" w:hAnsi="Arial" w:cs="Arial"/>
        <w:b/>
        <w:sz w:val="22"/>
        <w:szCs w:val="22"/>
        <w:u w:val="single"/>
      </w:rPr>
      <w:t>Tourism and Fair Trading</w:t>
    </w:r>
  </w:p>
  <w:p w:rsidR="00DC5512" w:rsidRDefault="00DC5512" w:rsidP="00862BA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687A912A"/>
    <w:lvl w:ilvl="0" w:tplc="65107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B6"/>
    <w:rsid w:val="0001127E"/>
    <w:rsid w:val="00030AE0"/>
    <w:rsid w:val="000376B0"/>
    <w:rsid w:val="00067328"/>
    <w:rsid w:val="00067FD3"/>
    <w:rsid w:val="00071EA5"/>
    <w:rsid w:val="000731E1"/>
    <w:rsid w:val="00083AC3"/>
    <w:rsid w:val="00084B7A"/>
    <w:rsid w:val="00085295"/>
    <w:rsid w:val="000852B4"/>
    <w:rsid w:val="00085C4C"/>
    <w:rsid w:val="00091569"/>
    <w:rsid w:val="000D7A08"/>
    <w:rsid w:val="000E0769"/>
    <w:rsid w:val="000E447B"/>
    <w:rsid w:val="000F2AB8"/>
    <w:rsid w:val="000F40C5"/>
    <w:rsid w:val="00105506"/>
    <w:rsid w:val="001129B4"/>
    <w:rsid w:val="00124C0B"/>
    <w:rsid w:val="00134A56"/>
    <w:rsid w:val="001554FE"/>
    <w:rsid w:val="00156231"/>
    <w:rsid w:val="0016497A"/>
    <w:rsid w:val="00186CDA"/>
    <w:rsid w:val="00191947"/>
    <w:rsid w:val="001B2FB7"/>
    <w:rsid w:val="001B7031"/>
    <w:rsid w:val="001F3164"/>
    <w:rsid w:val="00210955"/>
    <w:rsid w:val="00226CEA"/>
    <w:rsid w:val="00231C3A"/>
    <w:rsid w:val="00233047"/>
    <w:rsid w:val="00235634"/>
    <w:rsid w:val="00243291"/>
    <w:rsid w:val="0024717E"/>
    <w:rsid w:val="00250AA8"/>
    <w:rsid w:val="0025229A"/>
    <w:rsid w:val="0026183E"/>
    <w:rsid w:val="0028325E"/>
    <w:rsid w:val="002C2CF4"/>
    <w:rsid w:val="002C5A56"/>
    <w:rsid w:val="002D6D76"/>
    <w:rsid w:val="00312A37"/>
    <w:rsid w:val="0033236E"/>
    <w:rsid w:val="00344F9A"/>
    <w:rsid w:val="003575D0"/>
    <w:rsid w:val="00357A7D"/>
    <w:rsid w:val="0039261D"/>
    <w:rsid w:val="003A1EAE"/>
    <w:rsid w:val="003D11D4"/>
    <w:rsid w:val="003D7F31"/>
    <w:rsid w:val="003F1A7A"/>
    <w:rsid w:val="003F287E"/>
    <w:rsid w:val="003F6DB0"/>
    <w:rsid w:val="00412E33"/>
    <w:rsid w:val="004544D4"/>
    <w:rsid w:val="00471B49"/>
    <w:rsid w:val="004725AC"/>
    <w:rsid w:val="0047316A"/>
    <w:rsid w:val="004819B9"/>
    <w:rsid w:val="0048325E"/>
    <w:rsid w:val="004A0EDF"/>
    <w:rsid w:val="004B2AF8"/>
    <w:rsid w:val="004B41CB"/>
    <w:rsid w:val="004B5D98"/>
    <w:rsid w:val="004C09BD"/>
    <w:rsid w:val="004E45EC"/>
    <w:rsid w:val="004E7BB6"/>
    <w:rsid w:val="004E7DBF"/>
    <w:rsid w:val="004F279D"/>
    <w:rsid w:val="00510159"/>
    <w:rsid w:val="00514E4D"/>
    <w:rsid w:val="00517C75"/>
    <w:rsid w:val="00521937"/>
    <w:rsid w:val="00530110"/>
    <w:rsid w:val="00530645"/>
    <w:rsid w:val="005343BA"/>
    <w:rsid w:val="00551A61"/>
    <w:rsid w:val="005572E7"/>
    <w:rsid w:val="00576504"/>
    <w:rsid w:val="0059013D"/>
    <w:rsid w:val="00594FE2"/>
    <w:rsid w:val="005A2EB1"/>
    <w:rsid w:val="005C4E07"/>
    <w:rsid w:val="005E0774"/>
    <w:rsid w:val="005E1A89"/>
    <w:rsid w:val="005E572E"/>
    <w:rsid w:val="005F512C"/>
    <w:rsid w:val="00601AC5"/>
    <w:rsid w:val="0061016A"/>
    <w:rsid w:val="006129B9"/>
    <w:rsid w:val="00616154"/>
    <w:rsid w:val="006366E9"/>
    <w:rsid w:val="00650681"/>
    <w:rsid w:val="006549BE"/>
    <w:rsid w:val="006713BA"/>
    <w:rsid w:val="00674E8E"/>
    <w:rsid w:val="00675BD2"/>
    <w:rsid w:val="00682285"/>
    <w:rsid w:val="00687B4C"/>
    <w:rsid w:val="006B2B1C"/>
    <w:rsid w:val="006B57F8"/>
    <w:rsid w:val="006C3627"/>
    <w:rsid w:val="006C639D"/>
    <w:rsid w:val="006D2F49"/>
    <w:rsid w:val="006E10AA"/>
    <w:rsid w:val="006E735F"/>
    <w:rsid w:val="006F0405"/>
    <w:rsid w:val="00700B9D"/>
    <w:rsid w:val="007039D4"/>
    <w:rsid w:val="00716B19"/>
    <w:rsid w:val="00724FF6"/>
    <w:rsid w:val="00733F11"/>
    <w:rsid w:val="00735A4D"/>
    <w:rsid w:val="00743D9A"/>
    <w:rsid w:val="00756030"/>
    <w:rsid w:val="0076125B"/>
    <w:rsid w:val="00763D23"/>
    <w:rsid w:val="00767F08"/>
    <w:rsid w:val="007714F7"/>
    <w:rsid w:val="00780F0D"/>
    <w:rsid w:val="00797765"/>
    <w:rsid w:val="007B1414"/>
    <w:rsid w:val="007D1F86"/>
    <w:rsid w:val="007D4229"/>
    <w:rsid w:val="008020D0"/>
    <w:rsid w:val="00812842"/>
    <w:rsid w:val="008138F2"/>
    <w:rsid w:val="00814B87"/>
    <w:rsid w:val="00842CE9"/>
    <w:rsid w:val="00851534"/>
    <w:rsid w:val="0085270B"/>
    <w:rsid w:val="00852E90"/>
    <w:rsid w:val="00862BA5"/>
    <w:rsid w:val="00873174"/>
    <w:rsid w:val="00887D2C"/>
    <w:rsid w:val="00894C66"/>
    <w:rsid w:val="008967AF"/>
    <w:rsid w:val="008B016C"/>
    <w:rsid w:val="008C5772"/>
    <w:rsid w:val="008C5BE3"/>
    <w:rsid w:val="008E714E"/>
    <w:rsid w:val="008F0035"/>
    <w:rsid w:val="008F770C"/>
    <w:rsid w:val="009014A7"/>
    <w:rsid w:val="00907082"/>
    <w:rsid w:val="009241E7"/>
    <w:rsid w:val="0094194B"/>
    <w:rsid w:val="00947353"/>
    <w:rsid w:val="00952C4F"/>
    <w:rsid w:val="009555CB"/>
    <w:rsid w:val="00965853"/>
    <w:rsid w:val="0097122D"/>
    <w:rsid w:val="009756F8"/>
    <w:rsid w:val="00976065"/>
    <w:rsid w:val="0097688A"/>
    <w:rsid w:val="00984553"/>
    <w:rsid w:val="00996BAD"/>
    <w:rsid w:val="009A563D"/>
    <w:rsid w:val="009C2F2C"/>
    <w:rsid w:val="009D0BD4"/>
    <w:rsid w:val="009D352C"/>
    <w:rsid w:val="009D4895"/>
    <w:rsid w:val="009E3A7F"/>
    <w:rsid w:val="009E3D2B"/>
    <w:rsid w:val="00A02B95"/>
    <w:rsid w:val="00A04255"/>
    <w:rsid w:val="00A17458"/>
    <w:rsid w:val="00A30DEE"/>
    <w:rsid w:val="00A45B4D"/>
    <w:rsid w:val="00A669D6"/>
    <w:rsid w:val="00A769B8"/>
    <w:rsid w:val="00A843A8"/>
    <w:rsid w:val="00A92C92"/>
    <w:rsid w:val="00AA2ECA"/>
    <w:rsid w:val="00AA5D42"/>
    <w:rsid w:val="00AA6F22"/>
    <w:rsid w:val="00AB3EDD"/>
    <w:rsid w:val="00AC1C70"/>
    <w:rsid w:val="00AC475C"/>
    <w:rsid w:val="00AD0F96"/>
    <w:rsid w:val="00AE65DB"/>
    <w:rsid w:val="00AF152B"/>
    <w:rsid w:val="00AF34D1"/>
    <w:rsid w:val="00B001A6"/>
    <w:rsid w:val="00B014E7"/>
    <w:rsid w:val="00B1595C"/>
    <w:rsid w:val="00B21DD7"/>
    <w:rsid w:val="00B26486"/>
    <w:rsid w:val="00B377E9"/>
    <w:rsid w:val="00B50DD6"/>
    <w:rsid w:val="00B608BA"/>
    <w:rsid w:val="00B60A92"/>
    <w:rsid w:val="00B61B62"/>
    <w:rsid w:val="00B6449E"/>
    <w:rsid w:val="00B70C95"/>
    <w:rsid w:val="00B85A11"/>
    <w:rsid w:val="00B860C3"/>
    <w:rsid w:val="00B92E40"/>
    <w:rsid w:val="00B95705"/>
    <w:rsid w:val="00BD7AF2"/>
    <w:rsid w:val="00BE22FE"/>
    <w:rsid w:val="00C145DC"/>
    <w:rsid w:val="00C2249B"/>
    <w:rsid w:val="00C22F33"/>
    <w:rsid w:val="00C23D10"/>
    <w:rsid w:val="00C47CB5"/>
    <w:rsid w:val="00C5065F"/>
    <w:rsid w:val="00C51DB7"/>
    <w:rsid w:val="00C930A5"/>
    <w:rsid w:val="00C95979"/>
    <w:rsid w:val="00CB44F9"/>
    <w:rsid w:val="00CB6274"/>
    <w:rsid w:val="00CE16E0"/>
    <w:rsid w:val="00CF12F1"/>
    <w:rsid w:val="00CF157C"/>
    <w:rsid w:val="00D0737B"/>
    <w:rsid w:val="00D17405"/>
    <w:rsid w:val="00D50963"/>
    <w:rsid w:val="00D53DA8"/>
    <w:rsid w:val="00D64D51"/>
    <w:rsid w:val="00D65264"/>
    <w:rsid w:val="00D7234C"/>
    <w:rsid w:val="00D75057"/>
    <w:rsid w:val="00DB44A7"/>
    <w:rsid w:val="00DC5512"/>
    <w:rsid w:val="00DC6A25"/>
    <w:rsid w:val="00DD17EE"/>
    <w:rsid w:val="00DE0124"/>
    <w:rsid w:val="00DE0CB4"/>
    <w:rsid w:val="00DF532D"/>
    <w:rsid w:val="00E16127"/>
    <w:rsid w:val="00E30F0B"/>
    <w:rsid w:val="00E44F6C"/>
    <w:rsid w:val="00E4597C"/>
    <w:rsid w:val="00E51243"/>
    <w:rsid w:val="00E5441C"/>
    <w:rsid w:val="00E64AAC"/>
    <w:rsid w:val="00E668D2"/>
    <w:rsid w:val="00E708F6"/>
    <w:rsid w:val="00E84200"/>
    <w:rsid w:val="00E845B2"/>
    <w:rsid w:val="00EB1566"/>
    <w:rsid w:val="00EB6809"/>
    <w:rsid w:val="00ED35D6"/>
    <w:rsid w:val="00ED6054"/>
    <w:rsid w:val="00EE0932"/>
    <w:rsid w:val="00EE3AD4"/>
    <w:rsid w:val="00EF34BB"/>
    <w:rsid w:val="00F03F17"/>
    <w:rsid w:val="00F0783C"/>
    <w:rsid w:val="00F15659"/>
    <w:rsid w:val="00F16952"/>
    <w:rsid w:val="00F25186"/>
    <w:rsid w:val="00F4682B"/>
    <w:rsid w:val="00F46DEA"/>
    <w:rsid w:val="00F75BDC"/>
    <w:rsid w:val="00F818D9"/>
    <w:rsid w:val="00F92157"/>
    <w:rsid w:val="00F94EAF"/>
    <w:rsid w:val="00F953A1"/>
    <w:rsid w:val="00FA7571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40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B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E7BB6"/>
    <w:pPr>
      <w:tabs>
        <w:tab w:val="center" w:pos="4153"/>
        <w:tab w:val="right" w:pos="8306"/>
      </w:tabs>
    </w:pPr>
  </w:style>
  <w:style w:type="paragraph" w:customStyle="1" w:styleId="a">
    <w:basedOn w:val="Normal"/>
    <w:rsid w:val="00D17405"/>
    <w:pPr>
      <w:tabs>
        <w:tab w:val="left" w:pos="8278"/>
      </w:tabs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styleId="Hyperlink">
    <w:name w:val="Hyperlink"/>
    <w:basedOn w:val="DefaultParagraphFont"/>
    <w:rsid w:val="00D17405"/>
    <w:rPr>
      <w:color w:val="0000FF"/>
      <w:u w:val="single"/>
    </w:rPr>
  </w:style>
  <w:style w:type="paragraph" w:customStyle="1" w:styleId="CharChar5">
    <w:name w:val="Char Char5"/>
    <w:basedOn w:val="Normal"/>
    <w:rsid w:val="00D17405"/>
    <w:pPr>
      <w:tabs>
        <w:tab w:val="left" w:pos="8278"/>
      </w:tabs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BalloonText">
    <w:name w:val="Balloon Text"/>
    <w:basedOn w:val="Normal"/>
    <w:semiHidden/>
    <w:rsid w:val="006B5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GambOLAB09Ex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1871</Characters>
  <Application>Microsoft Office Word</Application>
  <DocSecurity>0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2193</CharactersWithSpaces>
  <SharedDoc>false</SharedDoc>
  <HyperlinkBase>https://www.cabinet.qld.gov.au/documents/2009/Aug/Gambling and other Leg Amendment Bill/</HyperlinkBase>
  <HLinks>
    <vt:vector size="12" baseType="variant"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Attachments/GambOLAB09Exp.pdf</vt:lpwstr>
      </vt:variant>
      <vt:variant>
        <vt:lpwstr/>
      </vt:variant>
      <vt:variant>
        <vt:i4>6357112</vt:i4>
      </vt:variant>
      <vt:variant>
        <vt:i4>0</vt:i4>
      </vt:variant>
      <vt:variant>
        <vt:i4>0</vt:i4>
      </vt:variant>
      <vt:variant>
        <vt:i4>5</vt:i4>
      </vt:variant>
      <vt:variant>
        <vt:lpwstr>Attachments/GambOLAB09.pdf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legislation,Fair_Trading,gambling,machines,liquor,rental</cp:keywords>
  <dc:description/>
  <cp:lastModifiedBy/>
  <cp:revision>2</cp:revision>
  <cp:lastPrinted>2009-09-23T05:45:00Z</cp:lastPrinted>
  <dcterms:created xsi:type="dcterms:W3CDTF">2017-10-24T21:58:00Z</dcterms:created>
  <dcterms:modified xsi:type="dcterms:W3CDTF">2018-03-06T00:55:00Z</dcterms:modified>
  <cp:category>legislation,Fair_Trading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-1025956357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